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舟山市青少年体校排球项目高中招生章程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根据舟山市文化和广电旅游体育局、舟山市教育局招生意见，结合舟山市青少年体校排球项目建设和发展的需要，拟定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年舟山市青少年体校排球项目高中招生章程。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</w:t>
      </w:r>
      <w:r>
        <w:rPr>
          <w:rFonts w:hint="default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招生项目：女子排球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报名和测试</w:t>
      </w:r>
    </w:p>
    <w:p>
      <w:pPr>
        <w:spacing w:before="36" w:line="400" w:lineRule="exact"/>
        <w:ind w:left="66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报名时间：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</w:t>
      </w:r>
      <w:r>
        <w:rPr>
          <w:rFonts w:hint="default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日-</w:t>
      </w: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25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日17点止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，持携带①本人身份证或户口簿、②二寸证件照（4张）、③学生基本信息表、④运动员注册证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明材料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、⑤运动员等级证书、⑥体育竞赛获奖证书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或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成绩证明，到舟山市青少年体校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科报名，并填写“舟山市青少年体校高中体育招生报名表”（附件一）；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（联系人：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洪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老师、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章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老师</w:t>
      </w:r>
      <w:r>
        <w:rPr>
          <w:rFonts w:hint="default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联系电话：8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0"/>
        </w:numPr>
        <w:spacing w:before="36" w:line="400" w:lineRule="exact"/>
        <w:ind w:leftChars="300" w:right="390" w:rightChars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测试时间：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</w:t>
      </w:r>
      <w:r>
        <w:rPr>
          <w:rFonts w:hint="default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sz w:val="24"/>
          <w:szCs w:val="24"/>
          <w:u w:val="none"/>
          <w:lang w:eastAsia="zh-CN"/>
        </w:rPr>
        <w:t>30</w:t>
      </w: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8:</w:t>
      </w:r>
      <w:r>
        <w:rPr>
          <w:rFonts w:hint="default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,测试地点：舟山市青少年体校训练馆。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测试办法和通过要求</w:t>
      </w:r>
    </w:p>
    <w:p>
      <w:pPr>
        <w:numPr>
          <w:ilvl w:val="0"/>
          <w:numId w:val="0"/>
        </w:numPr>
        <w:spacing w:before="36" w:line="400" w:lineRule="exact"/>
        <w:ind w:right="390" w:rightChars="0" w:firstLine="720" w:firstLineChars="3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(一)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测试办法</w:t>
      </w:r>
    </w:p>
    <w:p>
      <w:pPr>
        <w:numPr>
          <w:ilvl w:val="0"/>
          <w:numId w:val="3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考核共分专项素质、专项技术、实战能力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等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三项，满分100分。具体如下：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932"/>
        <w:gridCol w:w="1580"/>
        <w:gridCol w:w="160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类别</w:t>
            </w:r>
          </w:p>
        </w:tc>
        <w:tc>
          <w:tcPr>
            <w:tcW w:w="1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专项素质</w:t>
            </w:r>
          </w:p>
        </w:tc>
        <w:tc>
          <w:tcPr>
            <w:tcW w:w="31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专项技术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考核指标</w:t>
            </w:r>
          </w:p>
        </w:tc>
        <w:tc>
          <w:tcPr>
            <w:tcW w:w="1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助跑摸高</w:t>
            </w:r>
          </w:p>
        </w:tc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发球</w:t>
            </w:r>
          </w:p>
        </w:tc>
        <w:tc>
          <w:tcPr>
            <w:tcW w:w="16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扣球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分值</w:t>
            </w:r>
          </w:p>
        </w:tc>
        <w:tc>
          <w:tcPr>
            <w:tcW w:w="19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15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16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20分</w:t>
            </w:r>
          </w:p>
        </w:tc>
        <w:tc>
          <w:tcPr>
            <w:tcW w:w="170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注1：专业测试成绩=专项素质测试得分+专项技术测试得分+实战能力测试得分。</w:t>
      </w:r>
    </w:p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注2：每单项评分参照“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年舟山市青少年体校排球项目高中招生专业成绩评分标准”（附件二）予以计入。</w:t>
      </w:r>
    </w:p>
    <w:p>
      <w:pPr>
        <w:numPr>
          <w:ilvl w:val="0"/>
          <w:numId w:val="3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专项素质：助跑摸高</w:t>
      </w:r>
    </w:p>
    <w:p>
      <w:pPr>
        <w:spacing w:before="36" w:line="400" w:lineRule="exact"/>
        <w:ind w:left="880" w:leftChars="400"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考试方法：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考生助跑双脚起跳摸高，单手触摸电子摸高器或有固定标尺的高物，记录绝对高度。每人测试2次，取其中最好一次成绩（精确到厘米）。</w:t>
      </w:r>
    </w:p>
    <w:p>
      <w:pPr>
        <w:numPr>
          <w:ilvl w:val="0"/>
          <w:numId w:val="3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专项技术：</w:t>
      </w:r>
    </w:p>
    <w:p>
      <w:pPr>
        <w:numPr>
          <w:ilvl w:val="0"/>
          <w:numId w:val="4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发球</w:t>
      </w:r>
    </w:p>
    <w:p>
      <w:pPr>
        <w:spacing w:before="36" w:line="400" w:lineRule="exact"/>
        <w:ind w:left="880" w:leftChars="40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考试方法：考生在发球区内连续发球10次（先发5个直线，再发5个斜线），每球得2分；进入场地其他区域得1分（发A区进入B区得1分，发B区进入A区得1分）；发球失误或犯规不得分。每次发球根据落点区域的不同获得相应的分数，累计10次发球得分为最终成绩。</w:t>
      </w:r>
    </w:p>
    <w:p>
      <w:pPr>
        <w:pStyle w:val="7"/>
        <w:widowControl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drawing>
          <wp:inline distT="0" distB="0" distL="114300" distR="114300">
            <wp:extent cx="3060065" cy="1548130"/>
            <wp:effectExtent l="0" t="0" r="6985" b="13970"/>
            <wp:docPr id="1" name="图片 1" descr="1590990648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0990648(1)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1312" behindDoc="0" locked="0" layoutInCell="1" hidden="true" allowOverlap="1">
            <wp:simplePos x="0" y="0"/>
            <wp:positionH relativeFrom="page">
              <wp:posOffset>2858770</wp:posOffset>
            </wp:positionH>
            <wp:positionV relativeFrom="paragraph">
              <wp:posOffset>-5180965</wp:posOffset>
            </wp:positionV>
            <wp:extent cx="2561590" cy="1760220"/>
            <wp:effectExtent l="0" t="0" r="0" b="0"/>
            <wp:wrapNone/>
            <wp:docPr id="7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hidden="true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2336" behindDoc="0" locked="0" layoutInCell="1" hidden="true" allowOverlap="1">
            <wp:simplePos x="0" y="0"/>
            <wp:positionH relativeFrom="page">
              <wp:posOffset>2553970</wp:posOffset>
            </wp:positionH>
            <wp:positionV relativeFrom="paragraph">
              <wp:posOffset>-5485765</wp:posOffset>
            </wp:positionV>
            <wp:extent cx="2561590" cy="1760220"/>
            <wp:effectExtent l="0" t="0" r="0" b="0"/>
            <wp:wrapNone/>
            <wp:docPr id="5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 hidden="true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60288" behindDoc="0" locked="0" layoutInCell="1" hidden="true" allowOverlap="1">
            <wp:simplePos x="0" y="0"/>
            <wp:positionH relativeFrom="page">
              <wp:posOffset>2401570</wp:posOffset>
            </wp:positionH>
            <wp:positionV relativeFrom="paragraph">
              <wp:posOffset>-5638165</wp:posOffset>
            </wp:positionV>
            <wp:extent cx="2561590" cy="1760220"/>
            <wp:effectExtent l="0" t="0" r="0" b="0"/>
            <wp:wrapNone/>
            <wp:docPr id="4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hidden="true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4"/>
        </w:rPr>
        <w:drawing>
          <wp:anchor distT="0" distB="0" distL="0" distR="0" simplePos="0" relativeHeight="251659264" behindDoc="0" locked="0" layoutInCell="1" hidden="true" allowOverlap="1">
            <wp:simplePos x="0" y="0"/>
            <wp:positionH relativeFrom="page">
              <wp:posOffset>2249170</wp:posOffset>
            </wp:positionH>
            <wp:positionV relativeFrom="paragraph">
              <wp:posOffset>-5790565</wp:posOffset>
            </wp:positionV>
            <wp:extent cx="2561590" cy="1760220"/>
            <wp:effectExtent l="0" t="0" r="0" b="0"/>
            <wp:wrapNone/>
            <wp:docPr id="3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hidden="true"/>
                    <pic:cNvPicPr>
                      <a:picLocks noChangeAspect="true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4"/>
        </w:numPr>
        <w:spacing w:before="36" w:line="400" w:lineRule="exact"/>
        <w:ind w:left="880" w:leftChars="400" w:right="390" w:firstLine="0"/>
        <w:jc w:val="both"/>
        <w:rPr>
          <w:rFonts w:ascii="仿宋_GB2312" w:hAnsi="仿宋_GB2312" w:eastAsia="仿宋_GB2312" w:cs="仿宋_GB2312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sz w:val="24"/>
          <w:szCs w:val="24"/>
          <w:shd w:val="clear" w:color="auto" w:fill="FFFFFF"/>
          <w:lang w:val="en-US"/>
        </w:rPr>
        <w:t>扣球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t>考试方法：</w:t>
      </w: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考生5人一组，依次轮流扣考评员或考生（二传）从网前二传位置的传球。每名考生先扣5次直线，再扣5次斜线，共扣球10次，根据落点区域的不同获得相应的分数，累计10次扣球得分为最终成绩。扣球位置（二或四号位）考生可自行选定。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评分标准：扣球技术动作必须完整。搓吊球技术（引臂和挥臂击球动作中，肘关节未高于肩）和击出球呈抛物线飞行，属于犯规技术，不得分。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直线扣球评分：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① 扣球落点在直线区域内每球的2分；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② 扣球落点在场内直线区以外的其它区域，得1分；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③ 扣球失误或犯规技术，得0分。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斜线扣球评分：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① 扣球落点在斜线区域内得2分；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② 扣球落点在场内斜线区以外的其它区域，得1分；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t>③ 扣球失误或犯规技术，得0分。</w:t>
      </w:r>
    </w:p>
    <w:p>
      <w:pPr>
        <w:pStyle w:val="7"/>
        <w:widowControl/>
        <w:shd w:val="clear" w:color="auto" w:fill="FFFFFF"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Cs w:val="24"/>
          <w:shd w:val="clear" w:color="auto" w:fill="FFFFFF"/>
        </w:rPr>
        <w:drawing>
          <wp:inline distT="0" distB="0" distL="114300" distR="114300">
            <wp:extent cx="3255010" cy="1800225"/>
            <wp:effectExtent l="0" t="0" r="2540" b="9525"/>
            <wp:docPr id="2" name="图片 2" descr="1590990909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0990909(1)"/>
                    <pic:cNvPicPr>
                      <a:picLocks noChangeAspect="true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01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/>
        <w:numPr>
          <w:ilvl w:val="0"/>
          <w:numId w:val="3"/>
        </w:numPr>
        <w:shd w:val="clear" w:color="auto" w:fill="FFFFFF"/>
        <w:tabs>
          <w:tab w:val="left" w:pos="0"/>
        </w:tabs>
        <w:spacing w:beforeAutospacing="0" w:afterAutospacing="0" w:line="400" w:lineRule="exact"/>
        <w:ind w:left="880" w:leftChars="400" w:firstLine="0"/>
        <w:rPr>
          <w:rFonts w:ascii="仿宋_GB2312" w:hAnsi="仿宋_GB2312" w:eastAsia="仿宋_GB2312" w:cs="仿宋_GB2312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  <w:lang w:bidi="zh-CN"/>
        </w:rPr>
        <w:t>实战能力：比赛</w:t>
      </w:r>
      <w:r>
        <w:rPr>
          <w:rFonts w:hint="eastAsia" w:ascii="仿宋_GB2312" w:hAnsi="仿宋_GB2312" w:eastAsia="仿宋_GB2312" w:cs="仿宋_GB2312"/>
          <w:szCs w:val="24"/>
          <w:lang w:bidi="zh-CN"/>
        </w:rPr>
        <w:br w:type="textWrapping"/>
      </w:r>
      <w:r>
        <w:rPr>
          <w:rFonts w:hint="eastAsia" w:ascii="仿宋_GB2312" w:hAnsi="仿宋_GB2312" w:eastAsia="仿宋_GB2312" w:cs="仿宋_GB2312"/>
          <w:szCs w:val="24"/>
        </w:rPr>
        <w:t>考试办法：视考生人数分队进行比赛（可由考评员向两边抛球进行）。</w:t>
      </w:r>
    </w:p>
    <w:p>
      <w:pPr>
        <w:numPr>
          <w:ilvl w:val="0"/>
          <w:numId w:val="0"/>
        </w:numPr>
        <w:spacing w:before="36" w:line="400" w:lineRule="exact"/>
        <w:ind w:right="390" w:rightChars="0" w:firstLine="720" w:firstLineChars="300"/>
        <w:jc w:val="both"/>
        <w:rPr>
          <w:rFonts w:hint="default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二</w:t>
      </w:r>
      <w:r>
        <w:rPr>
          <w:rFonts w:hint="default" w:ascii="仿宋_GB2312" w:hAnsi="仿宋_GB2312" w:eastAsia="仿宋_GB2312" w:cs="仿宋_GB2312"/>
          <w:sz w:val="24"/>
          <w:szCs w:val="24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通过要求：排球专业测试成绩达到60分及以上</w:t>
      </w:r>
      <w:r>
        <w:rPr>
          <w:rFonts w:hint="default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录取</w:t>
      </w:r>
    </w:p>
    <w:p>
      <w:pPr>
        <w:numPr>
          <w:ilvl w:val="0"/>
          <w:numId w:val="5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符合17届省运会参赛年龄规定的考生优先录取。</w:t>
      </w:r>
    </w:p>
    <w:p>
      <w:pPr>
        <w:numPr>
          <w:ilvl w:val="0"/>
          <w:numId w:val="5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不符合17省运会参赛年龄规定的考生按测试成绩，从高到低择优录取，直至录取名额满额为止。</w:t>
      </w:r>
    </w:p>
    <w:p>
      <w:pPr>
        <w:numPr>
          <w:ilvl w:val="0"/>
          <w:numId w:val="5"/>
        </w:numPr>
        <w:spacing w:before="36" w:line="400" w:lineRule="exact"/>
        <w:ind w:left="660" w:leftChars="300" w:right="390"/>
        <w:jc w:val="both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在项目测试成绩排名中，如总分相同，按实战能力测试得分，从高到低录取；如实战能力测试得分再相同，按专项技术测试得分，从高到低录取；如专项技术测试得分再相同，按专项素质测试得分，从高到低录取；如专项素质测试得分再相同，按中考成绩（总分2），从高到低录取。</w:t>
      </w:r>
    </w:p>
    <w:p>
      <w:pPr>
        <w:spacing w:before="36" w:line="400" w:lineRule="exact"/>
        <w:ind w:right="66" w:firstLine="480" w:firstLineChars="200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附件一：舟山市青少年体校高中体育招生报名表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附件二：</w:t>
      </w:r>
      <w:r>
        <w:rPr>
          <w:rFonts w:hint="eastAsia" w:ascii="仿宋_GB2312" w:hAnsi="仿宋_GB2312" w:eastAsia="仿宋_GB2312" w:cs="仿宋_GB2312"/>
          <w:szCs w:val="24"/>
          <w:lang w:eastAsia="zh-CN"/>
        </w:rPr>
        <w:t>2022</w:t>
      </w:r>
      <w:r>
        <w:rPr>
          <w:rFonts w:hint="eastAsia" w:ascii="仿宋_GB2312" w:hAnsi="仿宋_GB2312" w:eastAsia="仿宋_GB2312" w:cs="仿宋_GB2312"/>
          <w:szCs w:val="24"/>
        </w:rPr>
        <w:t>年舟山市青少年体校排球项目高中招生专业成绩评分标准</w:t>
      </w: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spacing w:before="36" w:line="400" w:lineRule="exact"/>
        <w:ind w:right="66"/>
        <w:jc w:val="both"/>
        <w:rPr>
          <w:rFonts w:ascii="仿宋_GB2312" w:hAnsi="仿宋_GB2312" w:eastAsia="仿宋_GB2312" w:cs="仿宋_GB2312"/>
          <w:sz w:val="24"/>
          <w:szCs w:val="24"/>
          <w:lang w:val="en-US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4"/>
          <w:szCs w:val="34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舟山市青少年体校高中体育招生报名表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83"/>
        <w:gridCol w:w="1078"/>
        <w:gridCol w:w="572"/>
        <w:gridCol w:w="217"/>
        <w:gridCol w:w="400"/>
        <w:gridCol w:w="550"/>
        <w:gridCol w:w="683"/>
        <w:gridCol w:w="434"/>
        <w:gridCol w:w="500"/>
        <w:gridCol w:w="650"/>
        <w:gridCol w:w="2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毕业学校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教练员</w:t>
            </w: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中考报名序号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/准考证号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家庭住址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报考项目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（小项）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是否参加现场测试</w:t>
            </w:r>
          </w:p>
        </w:tc>
        <w:tc>
          <w:tcPr>
            <w:tcW w:w="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2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志愿排序</w:t>
            </w:r>
          </w:p>
        </w:tc>
        <w:tc>
          <w:tcPr>
            <w:tcW w:w="2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赛事名称</w:t>
            </w:r>
          </w:p>
        </w:tc>
        <w:tc>
          <w:tcPr>
            <w:tcW w:w="31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注册证号</w:t>
            </w:r>
          </w:p>
        </w:tc>
        <w:tc>
          <w:tcPr>
            <w:tcW w:w="30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比赛成绩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（小项）</w:t>
            </w:r>
          </w:p>
        </w:tc>
        <w:tc>
          <w:tcPr>
            <w:tcW w:w="3100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运动员等级</w:t>
            </w:r>
          </w:p>
        </w:tc>
        <w:tc>
          <w:tcPr>
            <w:tcW w:w="30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综合素质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评价等第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品德表现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运动健康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艺术素养</w:t>
            </w:r>
          </w:p>
        </w:tc>
        <w:tc>
          <w:tcPr>
            <w:tcW w:w="2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创新实践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监护人意见</w:t>
            </w:r>
          </w:p>
        </w:tc>
        <w:tc>
          <w:tcPr>
            <w:tcW w:w="744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考生签名：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         监护人签名：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学校意见</w:t>
            </w:r>
          </w:p>
        </w:tc>
        <w:tc>
          <w:tcPr>
            <w:tcW w:w="744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1100" w:firstLineChars="500"/>
              <w:jc w:val="left"/>
              <w:textAlignment w:val="auto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学校负责人签名（盖章）：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年舟山市青少年体校排球项目高中招生专业成绩评分标准</w:t>
      </w:r>
    </w:p>
    <w:p>
      <w:pPr>
        <w:pStyle w:val="7"/>
        <w:widowControl/>
        <w:shd w:val="clear" w:color="auto" w:fill="FFFFFF"/>
        <w:snapToGrid w:val="0"/>
        <w:spacing w:beforeAutospacing="0" w:afterAutospacing="0"/>
        <w:jc w:val="center"/>
        <w:rPr>
          <w:rFonts w:ascii="仿宋_GB2312" w:hAnsi="仿宋_GB2312" w:eastAsia="仿宋_GB2312" w:cs="仿宋_GB2312"/>
          <w:b/>
          <w:bCs/>
          <w:sz w:val="11"/>
          <w:szCs w:val="11"/>
        </w:rPr>
      </w:pPr>
    </w:p>
    <w:tbl>
      <w:tblPr>
        <w:tblStyle w:val="9"/>
        <w:tblW w:w="84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700"/>
        <w:gridCol w:w="2088"/>
        <w:gridCol w:w="208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3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助跑摸高</w:t>
            </w:r>
          </w:p>
        </w:tc>
        <w:tc>
          <w:tcPr>
            <w:tcW w:w="3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3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成绩（米）</w:t>
            </w:r>
          </w:p>
        </w:tc>
        <w:tc>
          <w:tcPr>
            <w:tcW w:w="20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分值</w:t>
            </w:r>
          </w:p>
        </w:tc>
        <w:tc>
          <w:tcPr>
            <w:tcW w:w="20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评分标准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主、副攻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自由人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2.90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2.80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20</w:t>
            </w:r>
          </w:p>
        </w:tc>
        <w:tc>
          <w:tcPr>
            <w:tcW w:w="20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技术动作规范协调，运用效果良好；战术意识及个人实战能力很强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2.88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2.78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19.5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2.86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2.76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19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2.84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2.74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18.5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2.82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2.72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18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2.80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2.70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17.5</w:t>
            </w:r>
          </w:p>
        </w:tc>
        <w:tc>
          <w:tcPr>
            <w:tcW w:w="20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技术动作较规范协调，运用效果良好；战术意识及个人实战能力较强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30-21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2.78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2.68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17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2.76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2.66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2.74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2.64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16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2.72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2.62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15.5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2.70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2.60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15</w:t>
            </w:r>
          </w:p>
        </w:tc>
        <w:tc>
          <w:tcPr>
            <w:tcW w:w="20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技术动作规范程度、协调性及运用效果一般；战术意识及个人实战能力一般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20-11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2.68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2.58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14.5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2.66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2.56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14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2.64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2.54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13.5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2.62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2.52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13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2.60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2.50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12.5</w:t>
            </w:r>
          </w:p>
        </w:tc>
        <w:tc>
          <w:tcPr>
            <w:tcW w:w="20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技术动作规范程度、协调性及运用效果较差；战术意识及个人实战能力较差</w:t>
            </w:r>
          </w:p>
        </w:tc>
        <w:tc>
          <w:tcPr>
            <w:tcW w:w="1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2.58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2.48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12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2.56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2.46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11.5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2.54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2.44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11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2.52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2.42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10.5</w:t>
            </w:r>
          </w:p>
        </w:tc>
        <w:tc>
          <w:tcPr>
            <w:tcW w:w="20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2.50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2.40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</w:t>
            </w:r>
          </w:p>
        </w:tc>
        <w:tc>
          <w:tcPr>
            <w:tcW w:w="2082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2.48</w:t>
            </w:r>
          </w:p>
        </w:tc>
        <w:tc>
          <w:tcPr>
            <w:tcW w:w="170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9.5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2.46</w:t>
            </w:r>
          </w:p>
        </w:tc>
        <w:tc>
          <w:tcPr>
            <w:tcW w:w="1700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2.44</w:t>
            </w:r>
          </w:p>
        </w:tc>
        <w:tc>
          <w:tcPr>
            <w:tcW w:w="1700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8.5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2.42</w:t>
            </w:r>
          </w:p>
        </w:tc>
        <w:tc>
          <w:tcPr>
            <w:tcW w:w="1700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2.40</w:t>
            </w:r>
          </w:p>
        </w:tc>
        <w:tc>
          <w:tcPr>
            <w:tcW w:w="1700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7.5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2.40以下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2.40以下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0</w:t>
            </w:r>
          </w:p>
        </w:tc>
        <w:tc>
          <w:tcPr>
            <w:tcW w:w="2082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single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A5AE50D0"/>
    <w:multiLevelType w:val="singleLevel"/>
    <w:tmpl w:val="A5AE50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EE6C878A"/>
    <w:multiLevelType w:val="singleLevel"/>
    <w:tmpl w:val="EE6C878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1414B9"/>
    <w:rsid w:val="001C61CF"/>
    <w:rsid w:val="002C3803"/>
    <w:rsid w:val="003645D8"/>
    <w:rsid w:val="00497C1B"/>
    <w:rsid w:val="00A02D05"/>
    <w:rsid w:val="00AF5258"/>
    <w:rsid w:val="00B329E9"/>
    <w:rsid w:val="00B36BD5"/>
    <w:rsid w:val="00BD6183"/>
    <w:rsid w:val="00C62B10"/>
    <w:rsid w:val="00CE4EB4"/>
    <w:rsid w:val="00D13845"/>
    <w:rsid w:val="00D6049D"/>
    <w:rsid w:val="01BA0D42"/>
    <w:rsid w:val="03CE61B7"/>
    <w:rsid w:val="07202E32"/>
    <w:rsid w:val="0D285990"/>
    <w:rsid w:val="0D885B42"/>
    <w:rsid w:val="0E155A88"/>
    <w:rsid w:val="117D36CC"/>
    <w:rsid w:val="14823131"/>
    <w:rsid w:val="149C387E"/>
    <w:rsid w:val="18B1276E"/>
    <w:rsid w:val="1B09135C"/>
    <w:rsid w:val="1DCD5E26"/>
    <w:rsid w:val="23B91424"/>
    <w:rsid w:val="259D3D34"/>
    <w:rsid w:val="26A87A5C"/>
    <w:rsid w:val="2B624B3A"/>
    <w:rsid w:val="2D78564C"/>
    <w:rsid w:val="2F2E11CF"/>
    <w:rsid w:val="2FC80DE0"/>
    <w:rsid w:val="3DB676B0"/>
    <w:rsid w:val="3FC3501F"/>
    <w:rsid w:val="41A913D4"/>
    <w:rsid w:val="458E2CD9"/>
    <w:rsid w:val="4A8F7D44"/>
    <w:rsid w:val="4BEFE529"/>
    <w:rsid w:val="4DC32667"/>
    <w:rsid w:val="535D21F7"/>
    <w:rsid w:val="53F57A23"/>
    <w:rsid w:val="5B0122E5"/>
    <w:rsid w:val="5E153CD9"/>
    <w:rsid w:val="5F7A1B20"/>
    <w:rsid w:val="5FFB641F"/>
    <w:rsid w:val="64613505"/>
    <w:rsid w:val="694E7F5F"/>
    <w:rsid w:val="6D96792C"/>
    <w:rsid w:val="6EF70E6E"/>
    <w:rsid w:val="70712199"/>
    <w:rsid w:val="75D75DA4"/>
    <w:rsid w:val="75D864BE"/>
    <w:rsid w:val="75DA7D40"/>
    <w:rsid w:val="7B20146C"/>
    <w:rsid w:val="7CB76F02"/>
    <w:rsid w:val="7D7E6881"/>
    <w:rsid w:val="86553095"/>
    <w:rsid w:val="CF3AC1FD"/>
    <w:rsid w:val="D5FFAEA7"/>
    <w:rsid w:val="EEBD392D"/>
    <w:rsid w:val="F7FF8E5D"/>
    <w:rsid w:val="FFE9F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5</Pages>
  <Words>1825</Words>
  <Characters>2088</Characters>
  <Lines>17</Lines>
  <Paragraphs>4</Paragraphs>
  <TotalTime>2</TotalTime>
  <ScaleCrop>false</ScaleCrop>
  <LinksUpToDate>false</LinksUpToDate>
  <CharactersWithSpaces>2123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2021-05-21T02:25:00Z</dcterms:created>
  <dc:creator>sink。</dc:creator>
  <cp:lastModifiedBy>user</cp:lastModifiedBy>
  <cp:lastPrinted>2022-05-13T08:29:00Z</cp:lastPrinted>
  <dcterms:modified xsi:type="dcterms:W3CDTF">2022-06-20T09:54:32Z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DF488A23F7F54A5DAA64DCB57A998382</vt:lpwstr>
  </property>
</Properties>
</file>